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профессиональной коммуникации</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69.77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профессиональной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«Практикум профессиональной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стили делового общения, вербальные и невербальные средства взаимодействия с партнерами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требования к деловой переписке, особенности стилистики писем официального инеофициального назначения, социокультурные различия в оформлении корреспонденции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требования к ведению устных деловых разговоров в процессе профессионального взаимодействия на государственном и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выбирать на государственном и иностранном (-ых) языках коммуникативно приемлемые стили делового общения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впроцессе решения различных коммуникативных задач на иностранном (-ых) языках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учитывать социокультурные различия в оформлении корреспонденции на государственноми иностранном (-ых) языках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коммуникативно и культурно приемлемо вести устные деловые разговоры в процессе профессионального взаимодействия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способами выбора вербальных и невербальных средств взаимодействия с партнерами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умениями выполнять перевод академических и профессиональных текстов с иностранного(-ых) на государственный язык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«Практикум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Педагогические коммуникации в гипермедиа формате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Управленческая культура руководителя современной дошкольной образовательной организаии</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Жанры педагогической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Язык и стиль речи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Письмо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Речевой этикет в педагогической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839.36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Жанры педагогической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«речевого жанра» и основные подходы к его делению на классы и виды. Классы речевых жанров по цели высказывания. Виды жанров педагогической риторики. Особенности педагогического дискурса как одного из видов институциональной коммуникации. Учебно-педагогический диалог</w:t>
            </w:r>
          </w:p>
          <w:p>
            <w:pPr>
              <w:jc w:val="both"/>
              <w:spacing w:after="0" w:line="240" w:lineRule="auto"/>
              <w:rPr>
                <w:sz w:val="24"/>
                <w:szCs w:val="24"/>
              </w:rPr>
            </w:pPr>
            <w:r>
              <w:rPr>
                <w:rFonts w:ascii="Times New Roman" w:hAnsi="Times New Roman" w:cs="Times New Roman"/>
                <w:color w:val="#000000"/>
                <w:sz w:val="24"/>
                <w:szCs w:val="24"/>
              </w:rPr>
              <w:t> Педагогический потенциал невербальных средств общения. Специфика профессионального педагогического слушания. Значение слушания.</w:t>
            </w:r>
          </w:p>
          <w:p>
            <w:pPr>
              <w:jc w:val="both"/>
              <w:spacing w:after="0" w:line="240" w:lineRule="auto"/>
              <w:rPr>
                <w:sz w:val="24"/>
                <w:szCs w:val="24"/>
              </w:rPr>
            </w:pPr>
            <w:r>
              <w:rPr>
                <w:rFonts w:ascii="Times New Roman" w:hAnsi="Times New Roman" w:cs="Times New Roman"/>
                <w:color w:val="#000000"/>
                <w:sz w:val="24"/>
                <w:szCs w:val="24"/>
              </w:rPr>
              <w:t> Особенности и виды профессионального педагогического слушания:. Профессиональные трудности слушания учителя. Типичные ошибки в слушании учителя</w:t>
            </w:r>
          </w:p>
          <w:p>
            <w:pPr>
              <w:jc w:val="both"/>
              <w:spacing w:after="0" w:line="240" w:lineRule="auto"/>
              <w:rPr>
                <w:sz w:val="24"/>
                <w:szCs w:val="24"/>
              </w:rPr>
            </w:pPr>
            <w:r>
              <w:rPr>
                <w:rFonts w:ascii="Times New Roman" w:hAnsi="Times New Roman" w:cs="Times New Roman"/>
                <w:color w:val="#000000"/>
                <w:sz w:val="24"/>
                <w:szCs w:val="24"/>
              </w:rPr>
              <w:t> Говорение в профессиональной деятельности педагога.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Язык и стиль речи педагога</w:t>
            </w:r>
          </w:p>
        </w:tc>
      </w:tr>
      <w:tr>
        <w:trPr>
          <w:trHeight w:hRule="exact" w:val="2215.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исполнению устного речевого высказывания. Речевые особенности процесса говорения педагога. Орфоэпическая и лексическая нормы. Особенности объяснительной речи. Приёмы предупреждения неясности</w:t>
            </w:r>
          </w:p>
          <w:p>
            <w:pPr>
              <w:jc w:val="both"/>
              <w:spacing w:after="0" w:line="240" w:lineRule="auto"/>
              <w:rPr>
                <w:sz w:val="24"/>
                <w:szCs w:val="24"/>
              </w:rPr>
            </w:pPr>
            <w:r>
              <w:rPr>
                <w:rFonts w:ascii="Times New Roman" w:hAnsi="Times New Roman" w:cs="Times New Roman"/>
                <w:color w:val="#000000"/>
                <w:sz w:val="24"/>
                <w:szCs w:val="24"/>
              </w:rPr>
              <w:t> Индивидуальный стиль речи учителя как система речевых средств и приёмов педагогического воздействия. Вербальный, интонационный и кинетический компоненты индивидуального стиля. Индивидуальный речевой стиль учителя как индивидуальная форма коммуникативного поведения учителя. Барьеры восприятия в общении</w:t>
            </w:r>
          </w:p>
          <w:p>
            <w:pPr>
              <w:jc w:val="both"/>
              <w:spacing w:after="0" w:line="240" w:lineRule="auto"/>
              <w:rPr>
                <w:sz w:val="24"/>
                <w:szCs w:val="24"/>
              </w:rPr>
            </w:pPr>
            <w:r>
              <w:rPr>
                <w:rFonts w:ascii="Times New Roman" w:hAnsi="Times New Roman" w:cs="Times New Roman"/>
                <w:color w:val="#000000"/>
                <w:sz w:val="24"/>
                <w:szCs w:val="24"/>
              </w:rPr>
              <w:t> Диалог как сфера проявления речевой деятельности человека. Механизмы речевой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 в процессе диалога. Педагогический диалог в различных ситуациях урока</w:t>
            </w:r>
          </w:p>
          <w:p>
            <w:pPr>
              <w:jc w:val="both"/>
              <w:spacing w:after="0" w:line="240" w:lineRule="auto"/>
              <w:rPr>
                <w:sz w:val="24"/>
                <w:szCs w:val="24"/>
              </w:rPr>
            </w:pPr>
            <w:r>
              <w:rPr>
                <w:rFonts w:ascii="Times New Roman" w:hAnsi="Times New Roman" w:cs="Times New Roman"/>
                <w:color w:val="#000000"/>
                <w:sz w:val="24"/>
                <w:szCs w:val="24"/>
              </w:rPr>
              <w:t> Гармоничный и дисгармоничный диалог. Типы вопросов при ведении диалога (закрытые, открытые, альтернативные, риторические, проблемные, зеркальные и эстафетные). Разновидности спора в зависимости от цели и обстановки общения. Требования к культуре спора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Письмо в профессиональной деятельности педагога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Письмо как вид речевой деятельности педагога. Ведение деловой переписки. Особенности стилистики официальных и неофициальных писем, социокультурные различия в формате корреспонденции на государственном и иностранном(-ых) языках</w:t>
            </w:r>
          </w:p>
          <w:p>
            <w:pPr>
              <w:jc w:val="both"/>
              <w:spacing w:after="0" w:line="240" w:lineRule="auto"/>
              <w:rPr>
                <w:sz w:val="24"/>
                <w:szCs w:val="24"/>
              </w:rPr>
            </w:pPr>
            <w:r>
              <w:rPr>
                <w:rFonts w:ascii="Times New Roman" w:hAnsi="Times New Roman" w:cs="Times New Roman"/>
                <w:color w:val="#000000"/>
                <w:sz w:val="24"/>
                <w:szCs w:val="24"/>
              </w:rPr>
              <w:t> Понятие культуры письма. Аспекты изучения письменной речи. Функции письменной речи. Структура письма как вида речевой деятельности. Классификации письма в зависимости от степени готовности текста для прочтения; адресованности письменного текста и цели написания. Коммуникативные возможности письменной речи в сопоставлении с устной речью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Речевой этикет в педагогической практике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речевого этикета педагога. Соотношение понятий "речевой этикет" и "языковая культура". Типичные нарушения речевого этикета. Правила речевого этикета педагога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Коммуникативная ситуация, её составляющие.</w:t>
            </w:r>
          </w:p>
          <w:p>
            <w:pPr>
              <w:jc w:val="both"/>
              <w:spacing w:after="0" w:line="240" w:lineRule="auto"/>
              <w:rPr>
                <w:sz w:val="24"/>
                <w:szCs w:val="24"/>
              </w:rPr>
            </w:pPr>
            <w:r>
              <w:rPr>
                <w:rFonts w:ascii="Times New Roman" w:hAnsi="Times New Roman" w:cs="Times New Roman"/>
                <w:color w:val="#000000"/>
                <w:sz w:val="24"/>
                <w:szCs w:val="24"/>
              </w:rPr>
              <w:t> 2. Социальная и речевая роли коммуникантов.</w:t>
            </w:r>
          </w:p>
          <w:p>
            <w:pPr>
              <w:jc w:val="both"/>
              <w:spacing w:after="0" w:line="240" w:lineRule="auto"/>
              <w:rPr>
                <w:sz w:val="24"/>
                <w:szCs w:val="24"/>
              </w:rPr>
            </w:pPr>
            <w:r>
              <w:rPr>
                <w:rFonts w:ascii="Times New Roman" w:hAnsi="Times New Roman" w:cs="Times New Roman"/>
                <w:color w:val="#000000"/>
                <w:sz w:val="24"/>
                <w:szCs w:val="24"/>
              </w:rPr>
              <w:t> 3. Коммуникативное намерение.</w:t>
            </w:r>
          </w:p>
          <w:p>
            <w:pPr>
              <w:jc w:val="both"/>
              <w:spacing w:after="0" w:line="240" w:lineRule="auto"/>
              <w:rPr>
                <w:sz w:val="24"/>
                <w:szCs w:val="24"/>
              </w:rPr>
            </w:pPr>
            <w:r>
              <w:rPr>
                <w:rFonts w:ascii="Times New Roman" w:hAnsi="Times New Roman" w:cs="Times New Roman"/>
                <w:color w:val="#000000"/>
                <w:sz w:val="24"/>
                <w:szCs w:val="24"/>
              </w:rPr>
              <w:t> 4. Речевая стратегия и тактика.</w:t>
            </w:r>
          </w:p>
          <w:p>
            <w:pPr>
              <w:jc w:val="both"/>
              <w:spacing w:after="0" w:line="240" w:lineRule="auto"/>
              <w:rPr>
                <w:sz w:val="24"/>
                <w:szCs w:val="24"/>
              </w:rPr>
            </w:pPr>
            <w:r>
              <w:rPr>
                <w:rFonts w:ascii="Times New Roman" w:hAnsi="Times New Roman" w:cs="Times New Roman"/>
                <w:color w:val="#000000"/>
                <w:sz w:val="24"/>
                <w:szCs w:val="24"/>
              </w:rPr>
              <w:t> 5. Виды общения.</w:t>
            </w:r>
          </w:p>
          <w:p>
            <w:pPr>
              <w:jc w:val="both"/>
              <w:spacing w:after="0" w:line="240" w:lineRule="auto"/>
              <w:rPr>
                <w:sz w:val="24"/>
                <w:szCs w:val="24"/>
              </w:rPr>
            </w:pPr>
            <w:r>
              <w:rPr>
                <w:rFonts w:ascii="Times New Roman" w:hAnsi="Times New Roman" w:cs="Times New Roman"/>
                <w:color w:val="#000000"/>
                <w:sz w:val="24"/>
                <w:szCs w:val="24"/>
              </w:rPr>
              <w:t> 6. Современная коммуникация и правила речевого общения. Постулаты общения.</w:t>
            </w:r>
          </w:p>
          <w:p>
            <w:pPr>
              <w:jc w:val="both"/>
              <w:spacing w:after="0" w:line="240" w:lineRule="auto"/>
              <w:rPr>
                <w:sz w:val="24"/>
                <w:szCs w:val="24"/>
              </w:rPr>
            </w:pPr>
            <w:r>
              <w:rPr>
                <w:rFonts w:ascii="Times New Roman" w:hAnsi="Times New Roman" w:cs="Times New Roman"/>
                <w:color w:val="#000000"/>
                <w:sz w:val="24"/>
                <w:szCs w:val="24"/>
              </w:rPr>
              <w:t> 7. Принцип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w:t>
            </w:r>
          </w:p>
          <w:p>
            <w:pPr>
              <w:jc w:val="both"/>
              <w:spacing w:after="0" w:line="240" w:lineRule="auto"/>
              <w:rPr>
                <w:sz w:val="24"/>
                <w:szCs w:val="24"/>
              </w:rPr>
            </w:pPr>
            <w:r>
              <w:rPr>
                <w:rFonts w:ascii="Times New Roman" w:hAnsi="Times New Roman" w:cs="Times New Roman"/>
                <w:color w:val="#000000"/>
                <w:sz w:val="24"/>
                <w:szCs w:val="24"/>
              </w:rPr>
              <w:t> 8. Принцип вежливости Лича. Условия, способствующие эффективности общения.</w:t>
            </w:r>
          </w:p>
          <w:p>
            <w:pPr>
              <w:jc w:val="both"/>
              <w:spacing w:after="0" w:line="240" w:lineRule="auto"/>
              <w:rPr>
                <w:sz w:val="24"/>
                <w:szCs w:val="24"/>
              </w:rPr>
            </w:pPr>
            <w:r>
              <w:rPr>
                <w:rFonts w:ascii="Times New Roman" w:hAnsi="Times New Roman" w:cs="Times New Roman"/>
                <w:color w:val="#000000"/>
                <w:sz w:val="24"/>
                <w:szCs w:val="24"/>
              </w:rPr>
              <w:t> 9. Функции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10. Стили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11. Коммуникативная компетентность как профессионально-значимое качество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педагога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3. Этапы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4. Текст как продукт речевой деятельности. Определение,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5. Виды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6. Культура чтения и слушания. Особенности слушания как вида речевой деятельности.</w:t>
            </w:r>
          </w:p>
          <w:p>
            <w:pPr>
              <w:jc w:val="both"/>
              <w:spacing w:after="0" w:line="240" w:lineRule="auto"/>
              <w:rPr>
                <w:sz w:val="24"/>
                <w:szCs w:val="24"/>
              </w:rPr>
            </w:pPr>
            <w:r>
              <w:rPr>
                <w:rFonts w:ascii="Times New Roman" w:hAnsi="Times New Roman" w:cs="Times New Roman"/>
                <w:color w:val="#000000"/>
                <w:sz w:val="24"/>
                <w:szCs w:val="24"/>
              </w:rPr>
              <w:t> 7. Виды, способы, приѐмы слушания.</w:t>
            </w:r>
          </w:p>
          <w:p>
            <w:pPr>
              <w:jc w:val="both"/>
              <w:spacing w:after="0" w:line="240" w:lineRule="auto"/>
              <w:rPr>
                <w:sz w:val="24"/>
                <w:szCs w:val="24"/>
              </w:rPr>
            </w:pPr>
            <w:r>
              <w:rPr>
                <w:rFonts w:ascii="Times New Roman" w:hAnsi="Times New Roman" w:cs="Times New Roman"/>
                <w:color w:val="#000000"/>
                <w:sz w:val="24"/>
                <w:szCs w:val="24"/>
              </w:rPr>
              <w:t> 8. Условия эффективного слушания.</w:t>
            </w:r>
          </w:p>
          <w:p>
            <w:pPr>
              <w:jc w:val="both"/>
              <w:spacing w:after="0" w:line="240" w:lineRule="auto"/>
              <w:rPr>
                <w:sz w:val="24"/>
                <w:szCs w:val="24"/>
              </w:rPr>
            </w:pPr>
            <w:r>
              <w:rPr>
                <w:rFonts w:ascii="Times New Roman" w:hAnsi="Times New Roman" w:cs="Times New Roman"/>
                <w:color w:val="#000000"/>
                <w:sz w:val="24"/>
                <w:szCs w:val="24"/>
              </w:rPr>
              <w:t> 9. Чтение как вид речевой деятельности. Виды чтения.</w:t>
            </w:r>
          </w:p>
          <w:p>
            <w:pPr>
              <w:jc w:val="both"/>
              <w:spacing w:after="0" w:line="240" w:lineRule="auto"/>
              <w:rPr>
                <w:sz w:val="24"/>
                <w:szCs w:val="24"/>
              </w:rPr>
            </w:pPr>
            <w:r>
              <w:rPr>
                <w:rFonts w:ascii="Times New Roman" w:hAnsi="Times New Roman" w:cs="Times New Roman"/>
                <w:color w:val="#000000"/>
                <w:sz w:val="24"/>
                <w:szCs w:val="24"/>
              </w:rPr>
              <w:t> 10. Проблема понимания.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мастерства публичного выступления.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Публичное выступление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2.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3.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w:t>
            </w:r>
          </w:p>
          <w:p>
            <w:pPr>
              <w:jc w:val="both"/>
              <w:spacing w:after="0" w:line="240" w:lineRule="auto"/>
              <w:rPr>
                <w:sz w:val="24"/>
                <w:szCs w:val="24"/>
              </w:rPr>
            </w:pPr>
            <w:r>
              <w:rPr>
                <w:rFonts w:ascii="Times New Roman" w:hAnsi="Times New Roman" w:cs="Times New Roman"/>
                <w:color w:val="#000000"/>
                <w:sz w:val="24"/>
                <w:szCs w:val="24"/>
              </w:rPr>
              <w:t> 4. Инвенция, диспозиция, элокуция, меморио, акцио.</w:t>
            </w:r>
          </w:p>
          <w:p>
            <w:pPr>
              <w:jc w:val="both"/>
              <w:spacing w:after="0" w:line="240" w:lineRule="auto"/>
              <w:rPr>
                <w:sz w:val="24"/>
                <w:szCs w:val="24"/>
              </w:rPr>
            </w:pPr>
            <w:r>
              <w:rPr>
                <w:rFonts w:ascii="Times New Roman" w:hAnsi="Times New Roman" w:cs="Times New Roman"/>
                <w:color w:val="#000000"/>
                <w:sz w:val="24"/>
                <w:szCs w:val="24"/>
              </w:rPr>
              <w:t> 4. Понятие о топосах. Основные топосы. Смысловые модели речи. Смысловая схема речи.</w:t>
            </w:r>
          </w:p>
          <w:p>
            <w:pPr>
              <w:jc w:val="both"/>
              <w:spacing w:after="0" w:line="240" w:lineRule="auto"/>
              <w:rPr>
                <w:sz w:val="24"/>
                <w:szCs w:val="24"/>
              </w:rPr>
            </w:pPr>
            <w:r>
              <w:rPr>
                <w:rFonts w:ascii="Times New Roman" w:hAnsi="Times New Roman" w:cs="Times New Roman"/>
                <w:color w:val="#000000"/>
                <w:sz w:val="24"/>
                <w:szCs w:val="24"/>
              </w:rPr>
              <w:t> 5. Риторические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w:t>
            </w:r>
          </w:p>
          <w:p>
            <w:pPr>
              <w:jc w:val="both"/>
              <w:spacing w:after="0" w:line="240" w:lineRule="auto"/>
              <w:rPr>
                <w:sz w:val="24"/>
                <w:szCs w:val="24"/>
              </w:rPr>
            </w:pPr>
            <w:r>
              <w:rPr>
                <w:rFonts w:ascii="Times New Roman" w:hAnsi="Times New Roman" w:cs="Times New Roman"/>
                <w:color w:val="#000000"/>
                <w:sz w:val="24"/>
                <w:szCs w:val="24"/>
              </w:rPr>
              <w:t> 6.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w:t>
            </w:r>
          </w:p>
          <w:p>
            <w:pPr>
              <w:jc w:val="both"/>
              <w:spacing w:after="0" w:line="240" w:lineRule="auto"/>
              <w:rPr>
                <w:sz w:val="24"/>
                <w:szCs w:val="24"/>
              </w:rPr>
            </w:pPr>
            <w:r>
              <w:rPr>
                <w:rFonts w:ascii="Times New Roman" w:hAnsi="Times New Roman" w:cs="Times New Roman"/>
                <w:color w:val="#000000"/>
                <w:sz w:val="24"/>
                <w:szCs w:val="24"/>
              </w:rPr>
              <w:t> 7.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8. Невербальные средства общения.</w:t>
            </w:r>
          </w:p>
          <w:p>
            <w:pPr>
              <w:jc w:val="both"/>
              <w:spacing w:after="0" w:line="240" w:lineRule="auto"/>
              <w:rPr>
                <w:sz w:val="24"/>
                <w:szCs w:val="24"/>
              </w:rPr>
            </w:pPr>
            <w:r>
              <w:rPr>
                <w:rFonts w:ascii="Times New Roman" w:hAnsi="Times New Roman" w:cs="Times New Roman"/>
                <w:color w:val="#000000"/>
                <w:sz w:val="24"/>
                <w:szCs w:val="24"/>
              </w:rPr>
              <w:t> 9.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10.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w:t>
            </w:r>
          </w:p>
          <w:p>
            <w:pPr>
              <w:jc w:val="both"/>
              <w:spacing w:after="0" w:line="240" w:lineRule="auto"/>
              <w:rPr>
                <w:sz w:val="24"/>
                <w:szCs w:val="24"/>
              </w:rPr>
            </w:pPr>
            <w:r>
              <w:rPr>
                <w:rFonts w:ascii="Times New Roman" w:hAnsi="Times New Roman" w:cs="Times New Roman"/>
                <w:color w:val="#000000"/>
                <w:sz w:val="24"/>
                <w:szCs w:val="24"/>
              </w:rPr>
              <w:t> 11.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Дискуссия в педагогическом общении.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дискутивно-полемической речи.</w:t>
            </w:r>
          </w:p>
          <w:p>
            <w:pPr>
              <w:jc w:val="both"/>
              <w:spacing w:after="0" w:line="240" w:lineRule="auto"/>
              <w:rPr>
                <w:sz w:val="24"/>
                <w:szCs w:val="24"/>
              </w:rPr>
            </w:pPr>
            <w:r>
              <w:rPr>
                <w:rFonts w:ascii="Times New Roman" w:hAnsi="Times New Roman" w:cs="Times New Roman"/>
                <w:color w:val="#000000"/>
                <w:sz w:val="24"/>
                <w:szCs w:val="24"/>
              </w:rPr>
              <w:t> 2. Диалог как форма речевого общения и основа</w:t>
            </w:r>
          </w:p>
          <w:p>
            <w:pPr>
              <w:jc w:val="both"/>
              <w:spacing w:after="0" w:line="240" w:lineRule="auto"/>
              <w:rPr>
                <w:sz w:val="24"/>
                <w:szCs w:val="24"/>
              </w:rPr>
            </w:pPr>
            <w:r>
              <w:rPr>
                <w:rFonts w:ascii="Times New Roman" w:hAnsi="Times New Roman" w:cs="Times New Roman"/>
                <w:color w:val="#000000"/>
                <w:sz w:val="24"/>
                <w:szCs w:val="24"/>
              </w:rPr>
              <w:t> дискутивно-полемической речи.</w:t>
            </w:r>
          </w:p>
          <w:p>
            <w:pPr>
              <w:jc w:val="both"/>
              <w:spacing w:after="0" w:line="240" w:lineRule="auto"/>
              <w:rPr>
                <w:sz w:val="24"/>
                <w:szCs w:val="24"/>
              </w:rPr>
            </w:pPr>
            <w:r>
              <w:rPr>
                <w:rFonts w:ascii="Times New Roman" w:hAnsi="Times New Roman" w:cs="Times New Roman"/>
                <w:color w:val="#000000"/>
                <w:sz w:val="24"/>
                <w:szCs w:val="24"/>
              </w:rPr>
              <w:t> 3. Разновидности дискутивно-полемической речи (полемика, дискуссия, дебаты, диспут, прения, спор).</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полемики (причины</w:t>
            </w:r>
          </w:p>
          <w:p>
            <w:pPr>
              <w:jc w:val="both"/>
              <w:spacing w:after="0" w:line="240" w:lineRule="auto"/>
              <w:rPr>
                <w:sz w:val="24"/>
                <w:szCs w:val="24"/>
              </w:rPr>
            </w:pPr>
            <w:r>
              <w:rPr>
                <w:rFonts w:ascii="Times New Roman" w:hAnsi="Times New Roman" w:cs="Times New Roman"/>
                <w:color w:val="#000000"/>
                <w:sz w:val="24"/>
                <w:szCs w:val="24"/>
              </w:rPr>
              <w:t> возникновения, типы полемики, функции, принципы).</w:t>
            </w:r>
          </w:p>
          <w:p>
            <w:pPr>
              <w:jc w:val="both"/>
              <w:spacing w:after="0" w:line="240" w:lineRule="auto"/>
              <w:rPr>
                <w:sz w:val="24"/>
                <w:szCs w:val="24"/>
              </w:rPr>
            </w:pPr>
            <w:r>
              <w:rPr>
                <w:rFonts w:ascii="Times New Roman" w:hAnsi="Times New Roman" w:cs="Times New Roman"/>
                <w:color w:val="#000000"/>
                <w:sz w:val="24"/>
                <w:szCs w:val="24"/>
              </w:rPr>
              <w:t> 5. Особенности спора (стратегии,</w:t>
            </w:r>
          </w:p>
          <w:p>
            <w:pPr>
              <w:jc w:val="both"/>
              <w:spacing w:after="0" w:line="240" w:lineRule="auto"/>
              <w:rPr>
                <w:sz w:val="24"/>
                <w:szCs w:val="24"/>
              </w:rPr>
            </w:pPr>
            <w:r>
              <w:rPr>
                <w:rFonts w:ascii="Times New Roman" w:hAnsi="Times New Roman" w:cs="Times New Roman"/>
                <w:color w:val="#000000"/>
                <w:sz w:val="24"/>
                <w:szCs w:val="24"/>
              </w:rPr>
              <w:t> тактики спора; полемические приѐмы, уловки; правила спора).</w:t>
            </w:r>
          </w:p>
          <w:p>
            <w:pPr>
              <w:jc w:val="both"/>
              <w:spacing w:after="0" w:line="240" w:lineRule="auto"/>
              <w:rPr>
                <w:sz w:val="24"/>
                <w:szCs w:val="24"/>
              </w:rPr>
            </w:pPr>
            <w:r>
              <w:rPr>
                <w:rFonts w:ascii="Times New Roman" w:hAnsi="Times New Roman" w:cs="Times New Roman"/>
                <w:color w:val="#000000"/>
                <w:sz w:val="24"/>
                <w:szCs w:val="24"/>
              </w:rPr>
              <w:t> 6. Методика проведения</w:t>
            </w:r>
          </w:p>
          <w:p>
            <w:pPr>
              <w:jc w:val="both"/>
              <w:spacing w:after="0" w:line="240" w:lineRule="auto"/>
              <w:rPr>
                <w:sz w:val="24"/>
                <w:szCs w:val="24"/>
              </w:rPr>
            </w:pPr>
            <w:r>
              <w:rPr>
                <w:rFonts w:ascii="Times New Roman" w:hAnsi="Times New Roman" w:cs="Times New Roman"/>
                <w:color w:val="#000000"/>
                <w:sz w:val="24"/>
                <w:szCs w:val="24"/>
              </w:rPr>
              <w:t> дискуссии. Подготовка и проведение дискуссии.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Речевой этикет в педагогической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Речевой этикет и культура общения.</w:t>
            </w:r>
          </w:p>
          <w:p>
            <w:pPr>
              <w:jc w:val="both"/>
              <w:spacing w:after="0" w:line="240" w:lineRule="auto"/>
              <w:rPr>
                <w:sz w:val="24"/>
                <w:szCs w:val="24"/>
              </w:rPr>
            </w:pPr>
            <w:r>
              <w:rPr>
                <w:rFonts w:ascii="Times New Roman" w:hAnsi="Times New Roman" w:cs="Times New Roman"/>
                <w:color w:val="#000000"/>
                <w:sz w:val="24"/>
                <w:szCs w:val="24"/>
              </w:rPr>
              <w:t> 2. Этикетные формулы речи.</w:t>
            </w:r>
          </w:p>
          <w:p>
            <w:pPr>
              <w:jc w:val="both"/>
              <w:spacing w:after="0" w:line="240" w:lineRule="auto"/>
              <w:rPr>
                <w:sz w:val="24"/>
                <w:szCs w:val="24"/>
              </w:rPr>
            </w:pPr>
            <w:r>
              <w:rPr>
                <w:rFonts w:ascii="Times New Roman" w:hAnsi="Times New Roman" w:cs="Times New Roman"/>
                <w:color w:val="#000000"/>
                <w:sz w:val="24"/>
                <w:szCs w:val="24"/>
              </w:rPr>
              <w:t> 3. Национально-культурная специфика речевого поведения.</w:t>
            </w:r>
          </w:p>
          <w:p>
            <w:pPr>
              <w:jc w:val="both"/>
              <w:spacing w:after="0" w:line="240" w:lineRule="auto"/>
              <w:rPr>
                <w:sz w:val="24"/>
                <w:szCs w:val="24"/>
              </w:rPr>
            </w:pPr>
            <w:r>
              <w:rPr>
                <w:rFonts w:ascii="Times New Roman" w:hAnsi="Times New Roman" w:cs="Times New Roman"/>
                <w:color w:val="#000000"/>
                <w:sz w:val="24"/>
                <w:szCs w:val="24"/>
              </w:rPr>
              <w:t> 4. Речевой этикет в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5. Этика педагогического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профессиональной коммуникации»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https://urait.ru/bcode/428443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978-5-534-08693-5.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https://urait.ru/bcode/437956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1.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2024-2025_ФГОС3++2024_Маг-ЗФО-ППО(УДО)(24)_plx_Практикум профессиональной коммуникации_Управление дошкольным образованием</dc:title>
  <dc:creator>FastReport.NET</dc:creator>
</cp:coreProperties>
</file>